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附件一 生源信息核对及就业方案确认方法及注意事项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一、生源信息核对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（一）登录方式：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1.点击网址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</w:rPr>
        <w:t>www.ejobmart.cn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，进入浙江省大学生网上就业市场页面；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7620000" cy="3629025"/>
            <wp:effectExtent l="0" t="0" r="0" b="5715"/>
            <wp:docPr id="1" name="图片 1" descr="162218257398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218257398106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2.点击页面右上方“登录”按钮，按页面要求选择学生用户登录、选择学校、输入学号、密码（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默认密码为本人身份证后8位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）、验证码后即可成功登录；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7620000" cy="4000500"/>
            <wp:effectExtent l="0" t="0" r="0" b="0"/>
            <wp:docPr id="2" name="图片 2" descr="162218257985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218257985728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（二）核对内容：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1.点击左侧菜单栏的“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生源自审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”，核对页面右侧“基本信息”、“学籍信息”、“联系方式”三个版块的具体内容。重点核对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标红星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的项目是否正确。（“生源地”一般指入学前家庭户籍所在地。若入学前已在其他地方成家或购房并已固定落户，并能提供相关户籍证明材料，生源地可按照户口所在地填写）。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7620000" cy="4581525"/>
            <wp:effectExtent l="0" t="0" r="0" b="5715"/>
            <wp:docPr id="3" name="图片 3" descr="162218258480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218258480061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2.若信息有误，可点击页面右下角的“申请修改”按钮进行修改。其中，“联系方式”版块中的可修改项由学生自行修改，无需审核。其他版块中的可修改项修改后需要学院审核后方可生效。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3.核对信息无误后，点击右下角的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“确认”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按钮。请于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2021年6月5日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前完成生源信息核对。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二、就业方案确认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1.按照进行生源信息审核的登录方式进入浙江省大学生网上就业市场；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2.点击左侧菜单栏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“就业方案确认”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，核对页面右侧“学生信息”、“就业信息”、“报到证信息”、“档案信息”四个版块的具体内容。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已提交就业材料的毕业生可直接进行核对确认(如不做方案核对确认则默认为需要暂缓派遣，有用人单位主管部门盖章的派到就业地主管部门，无用人单位上级主管单位盖章的则派回生源地)。未落实毕业去向但申请派回生源地的，将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招生就业部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在就业系统中填写报到证和档案信息，学生进行方案确认后报到证签往生源地、档案由派回生源地人才市场。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4.若信息有误，请联系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招生就业部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，电话0579-82282516。核对信息无误，请点击右下角的“确认”按钮。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就业方案确认完毕后方可打印报到证、派遣档案。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11296650" cy="6276975"/>
            <wp:effectExtent l="0" t="0" r="3810" b="1905"/>
            <wp:docPr id="4" name="图片 4" descr="1622182593306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218259330615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5.核对信息具体说明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（1）已提交就业协议的毕业生以及定向生：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请重点校对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用人单位名称、用人单位上级主管部门或所属地人社局、档案转寄单位及地址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是否与协议书一致。上级主管部门一般是报到证抬头单位和毕业生档案接收单位。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（2）已提交国内升学相关材料的毕业生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请重点校对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升学单位、档案转寄单位及地址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是否与调档函一致。同时，请及时将录取通知书复印件或调档函及原三方协议交回校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eastAsia="zh-CN"/>
        </w:rPr>
        <w:t>招生就业部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（3）未落实毕业去向派回生源地的毕业生：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重点校对就业方案中的报到证签往单位和档案转寄单位等信息，是否与生源地相关派遣单位一致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。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A18C7"/>
    <w:rsid w:val="2C740AAC"/>
    <w:rsid w:val="3F5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50" w:beforeLines="0" w:after="150" w:afterLines="0"/>
      <w:jc w:val="left"/>
      <w:outlineLvl w:val="0"/>
    </w:pPr>
    <w:rPr>
      <w:rFonts w:ascii="Arial" w:hAnsi="Arial" w:eastAsia="仿宋_GB2312" w:cs="Arial"/>
      <w:b/>
      <w:bCs/>
      <w:kern w:val="36"/>
      <w:sz w:val="30"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Weiping</dc:creator>
  <cp:lastModifiedBy>9</cp:lastModifiedBy>
  <dcterms:modified xsi:type="dcterms:W3CDTF">2021-06-03T11:45:17Z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1FA312E8E109493A8929A7D38D6E4924</vt:lpwstr>
  </property>
</Properties>
</file>